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72ED8" w14:textId="008F7C57" w:rsidR="007D6D5A" w:rsidRPr="00F73291" w:rsidRDefault="00950D52" w:rsidP="00B43055">
      <w:pPr>
        <w:jc w:val="center"/>
        <w:rPr>
          <w:rFonts w:ascii="Times New Roman" w:hAnsi="Times New Roman" w:cs="Times New Roman"/>
          <w:b/>
          <w:bCs/>
          <w:sz w:val="24"/>
          <w:szCs w:val="24"/>
        </w:rPr>
      </w:pPr>
      <w:r>
        <w:rPr>
          <w:rFonts w:ascii="Times New Roman" w:hAnsi="Times New Roman" w:cs="Times New Roman"/>
          <w:b/>
          <w:bCs/>
          <w:sz w:val="24"/>
          <w:szCs w:val="24"/>
        </w:rPr>
        <w:t>Grit Property Group</w:t>
      </w:r>
    </w:p>
    <w:p w14:paraId="3DE5F9D0" w14:textId="33F1542E" w:rsidR="00B43055" w:rsidRPr="00F73291" w:rsidRDefault="00B43055" w:rsidP="00B43055">
      <w:pPr>
        <w:jc w:val="center"/>
        <w:rPr>
          <w:rFonts w:ascii="Times New Roman" w:hAnsi="Times New Roman" w:cs="Times New Roman"/>
          <w:b/>
          <w:bCs/>
          <w:sz w:val="24"/>
          <w:szCs w:val="24"/>
        </w:rPr>
      </w:pPr>
      <w:r w:rsidRPr="00F73291">
        <w:rPr>
          <w:rFonts w:ascii="Times New Roman" w:hAnsi="Times New Roman" w:cs="Times New Roman"/>
          <w:b/>
          <w:bCs/>
          <w:sz w:val="24"/>
          <w:szCs w:val="24"/>
        </w:rPr>
        <w:t>Underwriting and Screening Criteria</w:t>
      </w:r>
    </w:p>
    <w:p w14:paraId="21E02DEF" w14:textId="23959E48" w:rsidR="00B43055" w:rsidRPr="00F73291" w:rsidRDefault="00B43055" w:rsidP="00B43055">
      <w:pPr>
        <w:rPr>
          <w:rFonts w:ascii="Times New Roman" w:hAnsi="Times New Roman" w:cs="Times New Roman"/>
          <w:b/>
          <w:bCs/>
          <w:sz w:val="24"/>
          <w:szCs w:val="24"/>
        </w:rPr>
      </w:pPr>
      <w:r w:rsidRPr="00F73291">
        <w:rPr>
          <w:rFonts w:ascii="Times New Roman" w:hAnsi="Times New Roman" w:cs="Times New Roman"/>
          <w:b/>
          <w:bCs/>
          <w:sz w:val="24"/>
          <w:szCs w:val="24"/>
        </w:rPr>
        <w:t>Background for Applications</w:t>
      </w:r>
    </w:p>
    <w:p w14:paraId="2D48A989" w14:textId="77777777" w:rsidR="00FB6C85" w:rsidRPr="00F73291" w:rsidRDefault="00FB6C85" w:rsidP="00FB6C85">
      <w:pPr>
        <w:pStyle w:val="ListParagraph"/>
        <w:numPr>
          <w:ilvl w:val="0"/>
          <w:numId w:val="11"/>
        </w:numPr>
        <w:rPr>
          <w:rFonts w:ascii="Times New Roman" w:hAnsi="Times New Roman" w:cs="Times New Roman"/>
          <w:sz w:val="24"/>
          <w:szCs w:val="24"/>
        </w:rPr>
      </w:pPr>
      <w:r w:rsidRPr="00F73291">
        <w:rPr>
          <w:rFonts w:ascii="Times New Roman" w:hAnsi="Times New Roman" w:cs="Times New Roman"/>
          <w:sz w:val="24"/>
          <w:szCs w:val="24"/>
        </w:rPr>
        <w:t xml:space="preserve">We required a government-issued photo ID as part of application – but we do not require it to be a driver’s license </w:t>
      </w:r>
    </w:p>
    <w:p w14:paraId="304EDF53" w14:textId="049F7E55" w:rsidR="00B43055" w:rsidRPr="00F73291" w:rsidRDefault="00B43055" w:rsidP="00B43055">
      <w:pPr>
        <w:numPr>
          <w:ilvl w:val="0"/>
          <w:numId w:val="11"/>
        </w:numPr>
        <w:rPr>
          <w:rFonts w:ascii="Times New Roman" w:hAnsi="Times New Roman" w:cs="Times New Roman"/>
          <w:sz w:val="24"/>
          <w:szCs w:val="24"/>
        </w:rPr>
      </w:pPr>
      <w:r w:rsidRPr="00F73291">
        <w:rPr>
          <w:rFonts w:ascii="Times New Roman" w:hAnsi="Times New Roman" w:cs="Times New Roman"/>
          <w:sz w:val="24"/>
          <w:szCs w:val="24"/>
        </w:rPr>
        <w:t>Application fees cover the cost and administration for running individual background and credit checks.</w:t>
      </w:r>
    </w:p>
    <w:p w14:paraId="5CDA4127" w14:textId="25336A53" w:rsidR="00B43055" w:rsidRPr="00F73291" w:rsidRDefault="00B43055" w:rsidP="00B43055">
      <w:pPr>
        <w:numPr>
          <w:ilvl w:val="0"/>
          <w:numId w:val="11"/>
        </w:numPr>
        <w:rPr>
          <w:rFonts w:ascii="Times New Roman" w:hAnsi="Times New Roman" w:cs="Times New Roman"/>
          <w:sz w:val="24"/>
          <w:szCs w:val="24"/>
        </w:rPr>
      </w:pPr>
      <w:r w:rsidRPr="00F73291">
        <w:rPr>
          <w:rFonts w:ascii="Times New Roman" w:hAnsi="Times New Roman" w:cs="Times New Roman"/>
          <w:sz w:val="24"/>
          <w:szCs w:val="24"/>
        </w:rPr>
        <w:t xml:space="preserve">Applying to </w:t>
      </w:r>
      <w:r w:rsidR="00950D52">
        <w:rPr>
          <w:rFonts w:ascii="Times New Roman" w:hAnsi="Times New Roman" w:cs="Times New Roman"/>
          <w:sz w:val="24"/>
          <w:szCs w:val="24"/>
        </w:rPr>
        <w:t xml:space="preserve">Resource Property Management KC LLC DBA Grit Property Group </w:t>
      </w:r>
      <w:r w:rsidRPr="00F73291">
        <w:rPr>
          <w:rFonts w:ascii="Times New Roman" w:hAnsi="Times New Roman" w:cs="Times New Roman"/>
          <w:sz w:val="24"/>
          <w:szCs w:val="24"/>
        </w:rPr>
        <w:t>does not guarantee approval by the Landlord, nor does it constitute a lease for the home to which the tenant applied.</w:t>
      </w:r>
    </w:p>
    <w:p w14:paraId="3C025261" w14:textId="046C17D6" w:rsidR="00B43055" w:rsidRPr="00F73291" w:rsidRDefault="00B43055" w:rsidP="00B43055">
      <w:pPr>
        <w:numPr>
          <w:ilvl w:val="0"/>
          <w:numId w:val="11"/>
        </w:numPr>
        <w:rPr>
          <w:rFonts w:ascii="Times New Roman" w:hAnsi="Times New Roman" w:cs="Times New Roman"/>
          <w:sz w:val="24"/>
          <w:szCs w:val="24"/>
        </w:rPr>
      </w:pPr>
      <w:r w:rsidRPr="00F73291">
        <w:rPr>
          <w:rFonts w:ascii="Times New Roman" w:hAnsi="Times New Roman" w:cs="Times New Roman"/>
          <w:sz w:val="24"/>
          <w:szCs w:val="24"/>
        </w:rPr>
        <w:t>Only if approved by the Landlord; tenants have an opportunity to pay a deposit and sign a lease to reserve a property.</w:t>
      </w:r>
    </w:p>
    <w:p w14:paraId="401F2B94" w14:textId="77777777" w:rsidR="00B43055" w:rsidRPr="00F73291" w:rsidRDefault="00B43055" w:rsidP="00B43055">
      <w:pPr>
        <w:numPr>
          <w:ilvl w:val="0"/>
          <w:numId w:val="11"/>
        </w:numPr>
        <w:rPr>
          <w:rFonts w:ascii="Times New Roman" w:hAnsi="Times New Roman" w:cs="Times New Roman"/>
          <w:sz w:val="24"/>
          <w:szCs w:val="24"/>
        </w:rPr>
      </w:pPr>
      <w:r w:rsidRPr="00F73291">
        <w:rPr>
          <w:rFonts w:ascii="Times New Roman" w:hAnsi="Times New Roman" w:cs="Times New Roman"/>
          <w:sz w:val="24"/>
          <w:szCs w:val="24"/>
        </w:rPr>
        <w:t>We estimate to receive a lot of applications. However, many applicants do not receive approval, pay a deposit, and/or sign a lease. We continue to accept applications until one Applicant has completed all necessary steps to reserve the property applications processed on a first-come, first-serve basis.</w:t>
      </w:r>
    </w:p>
    <w:p w14:paraId="06D7AC87" w14:textId="77777777" w:rsidR="00B43055" w:rsidRPr="00F73291" w:rsidRDefault="00B43055" w:rsidP="00B43055">
      <w:pPr>
        <w:rPr>
          <w:rFonts w:ascii="Times New Roman" w:hAnsi="Times New Roman" w:cs="Times New Roman"/>
          <w:b/>
          <w:bCs/>
          <w:sz w:val="24"/>
          <w:szCs w:val="24"/>
        </w:rPr>
      </w:pPr>
      <w:r w:rsidRPr="00F73291">
        <w:rPr>
          <w:rFonts w:ascii="Times New Roman" w:hAnsi="Times New Roman" w:cs="Times New Roman"/>
          <w:b/>
          <w:bCs/>
          <w:sz w:val="24"/>
          <w:szCs w:val="24"/>
        </w:rPr>
        <w:t>FAIR HOUSING</w:t>
      </w:r>
    </w:p>
    <w:p w14:paraId="1B026FC4" w14:textId="3B0EAA4F" w:rsidR="00B43055" w:rsidRPr="00F73291" w:rsidRDefault="00950D52" w:rsidP="00B43055">
      <w:pPr>
        <w:rPr>
          <w:rFonts w:ascii="Times New Roman" w:hAnsi="Times New Roman" w:cs="Times New Roman"/>
          <w:sz w:val="24"/>
          <w:szCs w:val="24"/>
        </w:rPr>
      </w:pPr>
      <w:r>
        <w:rPr>
          <w:rFonts w:ascii="Times New Roman" w:hAnsi="Times New Roman" w:cs="Times New Roman"/>
          <w:sz w:val="24"/>
          <w:szCs w:val="24"/>
        </w:rPr>
        <w:t xml:space="preserve">Resource Property Management KC LLC DBA Grit Property Group LLC DBA Grit Property Group </w:t>
      </w:r>
      <w:r w:rsidR="00B43055" w:rsidRPr="00F73291">
        <w:rPr>
          <w:rFonts w:ascii="Times New Roman" w:hAnsi="Times New Roman" w:cs="Times New Roman"/>
          <w:sz w:val="24"/>
          <w:szCs w:val="24"/>
        </w:rPr>
        <w:t xml:space="preserve">policy is not to discriminate against any person because of that person's race, color, creed or religion, sex, sexual orientation, national origin, age, marital status, military status, handicap, disability, or any other protected status. A tenant may ask </w:t>
      </w:r>
      <w:r>
        <w:rPr>
          <w:rFonts w:ascii="Times New Roman" w:hAnsi="Times New Roman" w:cs="Times New Roman"/>
          <w:sz w:val="24"/>
          <w:szCs w:val="24"/>
        </w:rPr>
        <w:t xml:space="preserve">Resource Property Management KC LLC DBA Grit Property Group </w:t>
      </w:r>
      <w:r w:rsidR="00B43055" w:rsidRPr="00F73291">
        <w:rPr>
          <w:rFonts w:ascii="Times New Roman" w:hAnsi="Times New Roman" w:cs="Times New Roman"/>
          <w:sz w:val="24"/>
          <w:szCs w:val="24"/>
        </w:rPr>
        <w:t xml:space="preserve">to consider any reasonable accommodation or modification they need because of a disability. If so, the tenant asked to submit in writing a Reasonable Accommodation / Modification Request using HUD forms. </w:t>
      </w:r>
      <w:r>
        <w:rPr>
          <w:rFonts w:ascii="Times New Roman" w:hAnsi="Times New Roman" w:cs="Times New Roman"/>
          <w:sz w:val="24"/>
          <w:szCs w:val="24"/>
        </w:rPr>
        <w:t xml:space="preserve">Resource Property Management KC LLC DBA Grit Property Group </w:t>
      </w:r>
      <w:r w:rsidR="00B43055" w:rsidRPr="00F73291">
        <w:rPr>
          <w:rFonts w:ascii="Times New Roman" w:hAnsi="Times New Roman" w:cs="Times New Roman"/>
          <w:sz w:val="24"/>
          <w:szCs w:val="24"/>
        </w:rPr>
        <w:t>will need 5 business days for a response.</w:t>
      </w:r>
    </w:p>
    <w:p w14:paraId="478678EF" w14:textId="77777777" w:rsidR="00B43055" w:rsidRPr="00F73291" w:rsidRDefault="00B43055" w:rsidP="00B43055">
      <w:pPr>
        <w:rPr>
          <w:rFonts w:ascii="Times New Roman" w:hAnsi="Times New Roman" w:cs="Times New Roman"/>
          <w:b/>
          <w:bCs/>
          <w:sz w:val="24"/>
          <w:szCs w:val="24"/>
        </w:rPr>
      </w:pPr>
      <w:r w:rsidRPr="00F73291">
        <w:rPr>
          <w:rFonts w:ascii="Times New Roman" w:hAnsi="Times New Roman" w:cs="Times New Roman"/>
          <w:b/>
          <w:bCs/>
          <w:sz w:val="24"/>
          <w:szCs w:val="24"/>
        </w:rPr>
        <w:t>Screening Policy</w:t>
      </w:r>
    </w:p>
    <w:p w14:paraId="0CDA54A6" w14:textId="77777777" w:rsidR="00B43055" w:rsidRPr="00F73291" w:rsidRDefault="00B43055" w:rsidP="00B43055">
      <w:pPr>
        <w:pStyle w:val="ListParagraph"/>
        <w:numPr>
          <w:ilvl w:val="0"/>
          <w:numId w:val="16"/>
        </w:numPr>
        <w:rPr>
          <w:rFonts w:ascii="Times New Roman" w:hAnsi="Times New Roman" w:cs="Times New Roman"/>
          <w:b/>
          <w:bCs/>
          <w:sz w:val="24"/>
          <w:szCs w:val="24"/>
        </w:rPr>
      </w:pPr>
      <w:r w:rsidRPr="00F73291">
        <w:rPr>
          <w:rFonts w:ascii="Times New Roman" w:hAnsi="Times New Roman" w:cs="Times New Roman"/>
          <w:b/>
          <w:bCs/>
          <w:sz w:val="24"/>
          <w:szCs w:val="24"/>
        </w:rPr>
        <w:t>Occupancy Guidelines</w:t>
      </w:r>
    </w:p>
    <w:p w14:paraId="2EEE2665" w14:textId="3DE7FD41" w:rsidR="00B43055" w:rsidRPr="00F73291" w:rsidRDefault="00B43055" w:rsidP="00B43055">
      <w:pPr>
        <w:pStyle w:val="ListParagraph"/>
        <w:numPr>
          <w:ilvl w:val="1"/>
          <w:numId w:val="16"/>
        </w:numPr>
        <w:rPr>
          <w:rFonts w:ascii="Times New Roman" w:hAnsi="Times New Roman" w:cs="Times New Roman"/>
          <w:sz w:val="24"/>
          <w:szCs w:val="24"/>
        </w:rPr>
      </w:pPr>
      <w:r w:rsidRPr="00F73291">
        <w:rPr>
          <w:rFonts w:ascii="Times New Roman" w:hAnsi="Times New Roman" w:cs="Times New Roman"/>
          <w:sz w:val="24"/>
          <w:szCs w:val="24"/>
        </w:rPr>
        <w:t>The following occupancy standards apply based on two persons per bedroom, plus one per home. Example: 1 Bedroom = 3 Persons; 2 Bedroom = 5 Persons; 3 Bedroom = 7 Persons; 4 Bedroom = 9 Persons; 5 Bedroom = 11 Persons.</w:t>
      </w:r>
    </w:p>
    <w:p w14:paraId="0143AC1D" w14:textId="77777777" w:rsidR="00B43055" w:rsidRPr="00F73291" w:rsidRDefault="00B43055" w:rsidP="00B43055">
      <w:pPr>
        <w:pStyle w:val="ListParagraph"/>
        <w:numPr>
          <w:ilvl w:val="1"/>
          <w:numId w:val="16"/>
        </w:numPr>
        <w:rPr>
          <w:rFonts w:ascii="Times New Roman" w:hAnsi="Times New Roman" w:cs="Times New Roman"/>
          <w:sz w:val="24"/>
          <w:szCs w:val="24"/>
        </w:rPr>
      </w:pPr>
      <w:r w:rsidRPr="00F73291">
        <w:rPr>
          <w:rFonts w:ascii="Times New Roman" w:hAnsi="Times New Roman" w:cs="Times New Roman"/>
          <w:sz w:val="24"/>
          <w:szCs w:val="24"/>
        </w:rPr>
        <w:t>These occupancy standards do not apply to anyone protected under the Federal Fair Housing Guidelines related to familial status. Familial status is defined as "one or more individuals (who have not attained the age of 18 years) being domiciled with a parent or another person having legal custody of such individual or individuals; or the designee of such parent or other person having such custody, with the written permission of such parent or other people.</w:t>
      </w:r>
    </w:p>
    <w:p w14:paraId="1C2E8996" w14:textId="77777777" w:rsidR="00B43055" w:rsidRPr="00F73291" w:rsidRDefault="00B43055" w:rsidP="00B43055">
      <w:pPr>
        <w:pStyle w:val="ListParagraph"/>
        <w:numPr>
          <w:ilvl w:val="1"/>
          <w:numId w:val="16"/>
        </w:numPr>
        <w:rPr>
          <w:rFonts w:ascii="Times New Roman" w:hAnsi="Times New Roman" w:cs="Times New Roman"/>
          <w:sz w:val="24"/>
          <w:szCs w:val="24"/>
        </w:rPr>
      </w:pPr>
      <w:r w:rsidRPr="00F73291">
        <w:rPr>
          <w:rFonts w:ascii="Times New Roman" w:hAnsi="Times New Roman" w:cs="Times New Roman"/>
          <w:sz w:val="24"/>
          <w:szCs w:val="24"/>
        </w:rPr>
        <w:lastRenderedPageBreak/>
        <w:t>The protections afforded against discrimination on the basis of familial status shall apply to any person who is pregnant or is in the process of securing legal custody of any individual who has not attained the age of 18 years." However, the Landlord reserves the right to limit occupancy in unique situations due to the physical limitations of the property (for example, limitation of the building's sewer and electrical systems) and state and local building codes that impose their own set of minimum space requirements per occupant.</w:t>
      </w:r>
    </w:p>
    <w:p w14:paraId="40610A0C" w14:textId="46DE1E0E" w:rsidR="00B43055" w:rsidRPr="00F73291" w:rsidRDefault="00B43055" w:rsidP="00B43055">
      <w:pPr>
        <w:pStyle w:val="ListParagraph"/>
        <w:numPr>
          <w:ilvl w:val="0"/>
          <w:numId w:val="16"/>
        </w:numPr>
        <w:rPr>
          <w:rFonts w:ascii="Times New Roman" w:hAnsi="Times New Roman" w:cs="Times New Roman"/>
          <w:b/>
          <w:bCs/>
          <w:sz w:val="24"/>
          <w:szCs w:val="24"/>
        </w:rPr>
      </w:pPr>
      <w:r w:rsidRPr="00F73291">
        <w:rPr>
          <w:rFonts w:ascii="Times New Roman" w:hAnsi="Times New Roman" w:cs="Times New Roman"/>
          <w:b/>
          <w:bCs/>
          <w:sz w:val="24"/>
          <w:szCs w:val="24"/>
        </w:rPr>
        <w:t>Age</w:t>
      </w:r>
    </w:p>
    <w:p w14:paraId="65CB496F" w14:textId="30D2C497" w:rsidR="00B43055" w:rsidRPr="00F73291" w:rsidRDefault="00B43055" w:rsidP="00B43055">
      <w:pPr>
        <w:pStyle w:val="ListParagraph"/>
        <w:numPr>
          <w:ilvl w:val="1"/>
          <w:numId w:val="16"/>
        </w:numPr>
        <w:rPr>
          <w:rFonts w:ascii="Times New Roman" w:hAnsi="Times New Roman" w:cs="Times New Roman"/>
          <w:sz w:val="24"/>
          <w:szCs w:val="24"/>
        </w:rPr>
      </w:pPr>
      <w:r w:rsidRPr="00F73291">
        <w:rPr>
          <w:rFonts w:ascii="Times New Roman" w:hAnsi="Times New Roman" w:cs="Times New Roman"/>
          <w:sz w:val="24"/>
          <w:szCs w:val="24"/>
        </w:rPr>
        <w:t>All Applicants who will be responsible for paying rent must be listed as tenants on the lease, be 18 years of age or older and pay the non-refundable Application Fee listed by the third-party manager. All occupants 18 years of age or older who will live in the property but will not be responsible for the rent must be included in the Application, pay the non-refundable Application Fee listed by the third-party manager except as prohibited by law and are required to be listed on the lease as occupants. Occupants younger than 18 years of age when you complete the Application do not need to pay the application fee but must be listed on the lease as occupants.</w:t>
      </w:r>
    </w:p>
    <w:p w14:paraId="42CD0C07" w14:textId="77777777" w:rsidR="00B43055" w:rsidRPr="00F73291" w:rsidRDefault="00B43055" w:rsidP="00B43055">
      <w:pPr>
        <w:pStyle w:val="ListParagraph"/>
        <w:numPr>
          <w:ilvl w:val="0"/>
          <w:numId w:val="16"/>
        </w:numPr>
        <w:rPr>
          <w:rFonts w:ascii="Times New Roman" w:hAnsi="Times New Roman" w:cs="Times New Roman"/>
          <w:b/>
          <w:bCs/>
          <w:sz w:val="24"/>
          <w:szCs w:val="24"/>
        </w:rPr>
      </w:pPr>
      <w:r w:rsidRPr="00F73291">
        <w:rPr>
          <w:rFonts w:ascii="Times New Roman" w:hAnsi="Times New Roman" w:cs="Times New Roman"/>
          <w:b/>
          <w:bCs/>
          <w:sz w:val="24"/>
          <w:szCs w:val="24"/>
        </w:rPr>
        <w:t>Credit Check</w:t>
      </w:r>
    </w:p>
    <w:p w14:paraId="4F53472D" w14:textId="3CA8723D" w:rsidR="00B43055" w:rsidRPr="00F73291" w:rsidRDefault="00950D52" w:rsidP="00B43055">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Resource Property Management KC LLC DBA Grit Property Group </w:t>
      </w:r>
      <w:r w:rsidR="00B43055" w:rsidRPr="00F73291">
        <w:rPr>
          <w:rFonts w:ascii="Times New Roman" w:hAnsi="Times New Roman" w:cs="Times New Roman"/>
          <w:sz w:val="24"/>
          <w:szCs w:val="24"/>
        </w:rPr>
        <w:t>will request a credit report on all applicants to verify creditworthiness. Credit checks are processed through third-party property managers and credit bureaus such as Equifax, Experian, and Transunion. All applicants must have a minimum average combined credit score of 600 or above (for example, if one Applicant's score is 680 and the other Applicant's score is 560, the combined average credit score is 620). However, tenants will not be disqualified solely for having a credit history.</w:t>
      </w:r>
    </w:p>
    <w:p w14:paraId="48DE72FF" w14:textId="77777777" w:rsidR="00B43055" w:rsidRPr="00F73291" w:rsidRDefault="00B43055" w:rsidP="00B43055">
      <w:pPr>
        <w:pStyle w:val="ListParagraph"/>
        <w:numPr>
          <w:ilvl w:val="1"/>
          <w:numId w:val="16"/>
        </w:numPr>
        <w:rPr>
          <w:rFonts w:ascii="Times New Roman" w:hAnsi="Times New Roman" w:cs="Times New Roman"/>
          <w:sz w:val="24"/>
          <w:szCs w:val="24"/>
        </w:rPr>
      </w:pPr>
      <w:r w:rsidRPr="00F73291">
        <w:rPr>
          <w:rFonts w:ascii="Times New Roman" w:hAnsi="Times New Roman" w:cs="Times New Roman"/>
          <w:sz w:val="24"/>
          <w:szCs w:val="24"/>
        </w:rPr>
        <w:t>Applicants with an average combined credit score between 600 and 650 may be required to pay additional deposits or advanced rent to reserve a property.</w:t>
      </w:r>
    </w:p>
    <w:p w14:paraId="18EE7ED3" w14:textId="77777777" w:rsidR="00B43055" w:rsidRPr="00F73291" w:rsidRDefault="00B43055" w:rsidP="00B43055">
      <w:pPr>
        <w:pStyle w:val="ListParagraph"/>
        <w:numPr>
          <w:ilvl w:val="0"/>
          <w:numId w:val="16"/>
        </w:numPr>
        <w:rPr>
          <w:rFonts w:ascii="Times New Roman" w:hAnsi="Times New Roman" w:cs="Times New Roman"/>
          <w:b/>
          <w:bCs/>
          <w:sz w:val="24"/>
          <w:szCs w:val="24"/>
        </w:rPr>
      </w:pPr>
      <w:r w:rsidRPr="00F73291">
        <w:rPr>
          <w:rFonts w:ascii="Times New Roman" w:hAnsi="Times New Roman" w:cs="Times New Roman"/>
          <w:b/>
          <w:bCs/>
          <w:sz w:val="24"/>
          <w:szCs w:val="24"/>
        </w:rPr>
        <w:t>Criminal Background Check</w:t>
      </w:r>
    </w:p>
    <w:p w14:paraId="1084247F" w14:textId="1BA1CD94" w:rsidR="00B43055" w:rsidRPr="00F73291" w:rsidRDefault="00B43055" w:rsidP="00B43055">
      <w:pPr>
        <w:pStyle w:val="ListParagraph"/>
        <w:numPr>
          <w:ilvl w:val="1"/>
          <w:numId w:val="16"/>
        </w:numPr>
        <w:rPr>
          <w:rFonts w:ascii="Times New Roman" w:hAnsi="Times New Roman" w:cs="Times New Roman"/>
          <w:sz w:val="24"/>
          <w:szCs w:val="24"/>
        </w:rPr>
      </w:pPr>
      <w:r w:rsidRPr="00F73291">
        <w:rPr>
          <w:rFonts w:ascii="Times New Roman" w:hAnsi="Times New Roman" w:cs="Times New Roman"/>
          <w:sz w:val="24"/>
          <w:szCs w:val="24"/>
        </w:rPr>
        <w:t>A criminal background check will be conducted for each Applicant and occupants aged 18 years or older. A conviction for the illegal manufacture or distribution of a controlled substance is cause for an automatic denial of an application by the Landlord. Criminal convictions relating to violent acts, crimes of dishonesty or breach of trust, or matters of similar nature or severity may cause a denial of an application. In addition to the nature and severity of the conviction, the Landlord will consider factors including, without limitation, the amount of time that has passed since the relevant conviction</w:t>
      </w:r>
      <w:r w:rsidR="001E7F34">
        <w:rPr>
          <w:rFonts w:ascii="Times New Roman" w:hAnsi="Times New Roman" w:cs="Times New Roman"/>
          <w:sz w:val="24"/>
          <w:szCs w:val="24"/>
        </w:rPr>
        <w:t xml:space="preserve">, </w:t>
      </w:r>
      <w:r w:rsidRPr="00F73291">
        <w:rPr>
          <w:rFonts w:ascii="Times New Roman" w:hAnsi="Times New Roman" w:cs="Times New Roman"/>
          <w:sz w:val="24"/>
          <w:szCs w:val="24"/>
        </w:rPr>
        <w:t>whether such conviction could reasonably be deemed to be indicative of potential risk to safety and/or property</w:t>
      </w:r>
      <w:r w:rsidR="001E7F34">
        <w:rPr>
          <w:rFonts w:ascii="Times New Roman" w:hAnsi="Times New Roman" w:cs="Times New Roman"/>
          <w:sz w:val="24"/>
          <w:szCs w:val="24"/>
        </w:rPr>
        <w:t>,</w:t>
      </w:r>
      <w:r w:rsidR="001E7F34" w:rsidRPr="001E7F34">
        <w:rPr>
          <w:rFonts w:ascii="Times New Roman" w:hAnsi="Times New Roman" w:cs="Times New Roman"/>
          <w:sz w:val="24"/>
          <w:szCs w:val="24"/>
        </w:rPr>
        <w:t xml:space="preserve"> </w:t>
      </w:r>
      <w:r w:rsidR="001E7F34">
        <w:rPr>
          <w:rFonts w:ascii="Times New Roman" w:hAnsi="Times New Roman" w:cs="Times New Roman"/>
          <w:sz w:val="24"/>
          <w:szCs w:val="24"/>
        </w:rPr>
        <w:t>and any additional information provided pursuant to Section 38-105(e) of the Kansas City Ordinances</w:t>
      </w:r>
      <w:r w:rsidRPr="00F73291">
        <w:rPr>
          <w:rFonts w:ascii="Times New Roman" w:hAnsi="Times New Roman" w:cs="Times New Roman"/>
          <w:sz w:val="24"/>
          <w:szCs w:val="24"/>
        </w:rPr>
        <w:t>.</w:t>
      </w:r>
    </w:p>
    <w:p w14:paraId="3878C652" w14:textId="77777777" w:rsidR="00B43055" w:rsidRPr="00F73291" w:rsidRDefault="00B43055" w:rsidP="00B43055">
      <w:pPr>
        <w:pStyle w:val="ListParagraph"/>
        <w:numPr>
          <w:ilvl w:val="0"/>
          <w:numId w:val="16"/>
        </w:numPr>
        <w:rPr>
          <w:rFonts w:ascii="Times New Roman" w:hAnsi="Times New Roman" w:cs="Times New Roman"/>
          <w:b/>
          <w:bCs/>
          <w:sz w:val="24"/>
          <w:szCs w:val="24"/>
        </w:rPr>
      </w:pPr>
      <w:r w:rsidRPr="00F73291">
        <w:rPr>
          <w:rFonts w:ascii="Times New Roman" w:hAnsi="Times New Roman" w:cs="Times New Roman"/>
          <w:b/>
          <w:bCs/>
          <w:sz w:val="24"/>
          <w:szCs w:val="24"/>
        </w:rPr>
        <w:t>Income</w:t>
      </w:r>
    </w:p>
    <w:p w14:paraId="0C5D1BBF" w14:textId="7424E6B4" w:rsidR="00B43055" w:rsidRPr="005B63A1" w:rsidRDefault="00B43055" w:rsidP="005B63A1">
      <w:pPr>
        <w:pStyle w:val="ListParagraph"/>
        <w:numPr>
          <w:ilvl w:val="1"/>
          <w:numId w:val="16"/>
        </w:numPr>
        <w:rPr>
          <w:rFonts w:ascii="Times New Roman" w:hAnsi="Times New Roman" w:cs="Times New Roman"/>
          <w:sz w:val="24"/>
          <w:szCs w:val="24"/>
        </w:rPr>
      </w:pPr>
      <w:r w:rsidRPr="005B63A1">
        <w:rPr>
          <w:rFonts w:ascii="Times New Roman" w:hAnsi="Times New Roman" w:cs="Times New Roman"/>
          <w:sz w:val="24"/>
          <w:szCs w:val="24"/>
        </w:rPr>
        <w:t xml:space="preserve">Applicants must provide proof of verifiable gross household monthly income. </w:t>
      </w:r>
      <w:r w:rsidR="00F73291" w:rsidRPr="005B63A1">
        <w:rPr>
          <w:rFonts w:ascii="Times New Roman" w:hAnsi="Times New Roman" w:cs="Times New Roman"/>
          <w:sz w:val="24"/>
          <w:szCs w:val="24"/>
        </w:rPr>
        <w:t>Total household income must be more than 2x the monthly rent.</w:t>
      </w:r>
      <w:r w:rsidR="005B63A1" w:rsidRPr="005B63A1">
        <w:rPr>
          <w:rFonts w:ascii="Times New Roman" w:hAnsi="Times New Roman" w:cs="Times New Roman"/>
          <w:sz w:val="24"/>
          <w:szCs w:val="24"/>
        </w:rPr>
        <w:t xml:space="preserve"> We will </w:t>
      </w:r>
      <w:proofErr w:type="gramStart"/>
      <w:r w:rsidR="005B63A1" w:rsidRPr="005B63A1">
        <w:rPr>
          <w:rFonts w:ascii="Times New Roman" w:hAnsi="Times New Roman" w:cs="Times New Roman"/>
          <w:sz w:val="24"/>
          <w:szCs w:val="24"/>
        </w:rPr>
        <w:t>take into account</w:t>
      </w:r>
      <w:proofErr w:type="gramEnd"/>
      <w:r w:rsidR="005B63A1" w:rsidRPr="005B63A1">
        <w:rPr>
          <w:rFonts w:ascii="Times New Roman" w:hAnsi="Times New Roman" w:cs="Times New Roman"/>
          <w:sz w:val="24"/>
          <w:szCs w:val="24"/>
        </w:rPr>
        <w:t xml:space="preserve"> all verifiable and lawful sources of income, such as vouchers, maintenance, disability payments, pensions, or other income supports. If a prospective tenant has a voucher, the Landlord's requirement for any rent-to-income ratio shall apply only with respect to the </w:t>
      </w:r>
      <w:r w:rsidR="005B63A1" w:rsidRPr="005B63A1">
        <w:rPr>
          <w:rFonts w:ascii="Times New Roman" w:hAnsi="Times New Roman" w:cs="Times New Roman"/>
          <w:sz w:val="24"/>
          <w:szCs w:val="24"/>
        </w:rPr>
        <w:lastRenderedPageBreak/>
        <w:t>portion of rent not covered by such prospective tenant's voucher amount, consistent with state and federal law, including, but not limited to, fair housing laws.</w:t>
      </w:r>
    </w:p>
    <w:p w14:paraId="6AFE2DB3" w14:textId="39022EDD" w:rsidR="00B43055" w:rsidRPr="00F73291" w:rsidRDefault="00B43055" w:rsidP="00B43055">
      <w:pPr>
        <w:pStyle w:val="ListParagraph"/>
        <w:numPr>
          <w:ilvl w:val="1"/>
          <w:numId w:val="16"/>
        </w:numPr>
        <w:rPr>
          <w:rFonts w:ascii="Times New Roman" w:hAnsi="Times New Roman" w:cs="Times New Roman"/>
          <w:i/>
          <w:iCs/>
          <w:sz w:val="24"/>
          <w:szCs w:val="24"/>
        </w:rPr>
      </w:pPr>
      <w:r w:rsidRPr="00F73291">
        <w:rPr>
          <w:rFonts w:ascii="Times New Roman" w:hAnsi="Times New Roman" w:cs="Times New Roman"/>
          <w:i/>
          <w:iCs/>
          <w:sz w:val="24"/>
          <w:szCs w:val="24"/>
        </w:rPr>
        <w:t>Conditional approval may be granted to applicants in which total rent payment per month is between 36% and 45% of the applicants' combined gross monthly income. Conditionally approved applicants may be required to pay additional deposits or advanced rent to reserve a property.</w:t>
      </w:r>
    </w:p>
    <w:p w14:paraId="342C1886" w14:textId="77777777" w:rsidR="00B43055" w:rsidRPr="00F73291" w:rsidRDefault="00B43055" w:rsidP="00B43055">
      <w:pPr>
        <w:pStyle w:val="ListParagraph"/>
        <w:numPr>
          <w:ilvl w:val="0"/>
          <w:numId w:val="16"/>
        </w:numPr>
        <w:rPr>
          <w:rFonts w:ascii="Times New Roman" w:hAnsi="Times New Roman" w:cs="Times New Roman"/>
          <w:b/>
          <w:bCs/>
          <w:sz w:val="24"/>
          <w:szCs w:val="24"/>
        </w:rPr>
      </w:pPr>
      <w:r w:rsidRPr="00F73291">
        <w:rPr>
          <w:rFonts w:ascii="Times New Roman" w:hAnsi="Times New Roman" w:cs="Times New Roman"/>
          <w:b/>
          <w:bCs/>
          <w:sz w:val="24"/>
          <w:szCs w:val="24"/>
        </w:rPr>
        <w:t>Rental History</w:t>
      </w:r>
    </w:p>
    <w:p w14:paraId="1AB5A71F" w14:textId="521854AF" w:rsidR="00B43055" w:rsidRPr="00F73291" w:rsidRDefault="00B43055" w:rsidP="00B43055">
      <w:pPr>
        <w:pStyle w:val="ListParagraph"/>
        <w:numPr>
          <w:ilvl w:val="1"/>
          <w:numId w:val="16"/>
        </w:numPr>
        <w:rPr>
          <w:rFonts w:ascii="Times New Roman" w:hAnsi="Times New Roman" w:cs="Times New Roman"/>
          <w:sz w:val="24"/>
          <w:szCs w:val="24"/>
        </w:rPr>
      </w:pPr>
      <w:r w:rsidRPr="00F73291">
        <w:rPr>
          <w:rFonts w:ascii="Times New Roman" w:hAnsi="Times New Roman" w:cs="Times New Roman"/>
          <w:sz w:val="24"/>
          <w:szCs w:val="24"/>
        </w:rPr>
        <w:t>If the tenant's most recent residence is a rental property, they will need to provide a copy of the lease agreement and one of the following:</w:t>
      </w:r>
    </w:p>
    <w:p w14:paraId="45D90CF4" w14:textId="3746A77F" w:rsidR="00B43055" w:rsidRPr="00F73291" w:rsidRDefault="00F73291" w:rsidP="00B43055">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three</w:t>
      </w:r>
      <w:r w:rsidR="00B43055" w:rsidRPr="00F73291">
        <w:rPr>
          <w:rFonts w:ascii="Times New Roman" w:hAnsi="Times New Roman" w:cs="Times New Roman"/>
          <w:sz w:val="24"/>
          <w:szCs w:val="24"/>
        </w:rPr>
        <w:t xml:space="preserve"> months of bank statements showing monthly rental payments,</w:t>
      </w:r>
    </w:p>
    <w:p w14:paraId="32D2CB6D" w14:textId="4AE4887D" w:rsidR="00B43055" w:rsidRPr="00F73291" w:rsidRDefault="00F73291" w:rsidP="00B43055">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three</w:t>
      </w:r>
      <w:r w:rsidR="00B43055" w:rsidRPr="00F73291">
        <w:rPr>
          <w:rFonts w:ascii="Times New Roman" w:hAnsi="Times New Roman" w:cs="Times New Roman"/>
          <w:sz w:val="24"/>
          <w:szCs w:val="24"/>
        </w:rPr>
        <w:t xml:space="preserve"> months of canceled rent checks or</w:t>
      </w:r>
    </w:p>
    <w:p w14:paraId="5BD2E5D2" w14:textId="7A238935" w:rsidR="00B43055" w:rsidRPr="00F73291" w:rsidRDefault="00F73291" w:rsidP="00B43055">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three</w:t>
      </w:r>
      <w:r w:rsidR="00B43055" w:rsidRPr="00F73291">
        <w:rPr>
          <w:rFonts w:ascii="Times New Roman" w:hAnsi="Times New Roman" w:cs="Times New Roman"/>
          <w:sz w:val="24"/>
          <w:szCs w:val="24"/>
        </w:rPr>
        <w:t xml:space="preserve"> months of rent payment receipts.</w:t>
      </w:r>
    </w:p>
    <w:p w14:paraId="44C77F3B" w14:textId="681AE8D2" w:rsidR="00B43055" w:rsidRPr="00F73291" w:rsidRDefault="00B43055" w:rsidP="00B43055">
      <w:pPr>
        <w:pStyle w:val="ListParagraph"/>
        <w:numPr>
          <w:ilvl w:val="2"/>
          <w:numId w:val="16"/>
        </w:numPr>
        <w:rPr>
          <w:rFonts w:ascii="Times New Roman" w:hAnsi="Times New Roman" w:cs="Times New Roman"/>
          <w:sz w:val="24"/>
          <w:szCs w:val="24"/>
        </w:rPr>
      </w:pPr>
      <w:r w:rsidRPr="00F73291">
        <w:rPr>
          <w:rFonts w:ascii="Times New Roman" w:hAnsi="Times New Roman" w:cs="Times New Roman"/>
          <w:sz w:val="24"/>
          <w:szCs w:val="24"/>
        </w:rPr>
        <w:t>Applicants who cannot verify recent rental payments may be required to pre-pay last month's rent before move-in.</w:t>
      </w:r>
    </w:p>
    <w:p w14:paraId="3468E163" w14:textId="2B19AEA3" w:rsidR="00B43055" w:rsidRPr="00F73291" w:rsidRDefault="00B43055" w:rsidP="00B43055">
      <w:pPr>
        <w:pStyle w:val="ListParagraph"/>
        <w:numPr>
          <w:ilvl w:val="2"/>
          <w:numId w:val="16"/>
        </w:numPr>
        <w:rPr>
          <w:rFonts w:ascii="Times New Roman" w:hAnsi="Times New Roman" w:cs="Times New Roman"/>
          <w:sz w:val="24"/>
          <w:szCs w:val="24"/>
        </w:rPr>
      </w:pPr>
      <w:r w:rsidRPr="00F73291">
        <w:rPr>
          <w:rFonts w:ascii="Times New Roman" w:hAnsi="Times New Roman" w:cs="Times New Roman"/>
          <w:sz w:val="24"/>
          <w:szCs w:val="24"/>
        </w:rPr>
        <w:t>Proof of rental payments does not apply to applicants who owned their own home for the 6 months before the lease term.</w:t>
      </w:r>
    </w:p>
    <w:p w14:paraId="369B5C78" w14:textId="77777777" w:rsidR="00B43055" w:rsidRPr="00F73291" w:rsidRDefault="00B43055" w:rsidP="00B43055">
      <w:pPr>
        <w:pStyle w:val="ListParagraph"/>
        <w:numPr>
          <w:ilvl w:val="0"/>
          <w:numId w:val="16"/>
        </w:numPr>
        <w:rPr>
          <w:rFonts w:ascii="Times New Roman" w:hAnsi="Times New Roman" w:cs="Times New Roman"/>
          <w:b/>
          <w:bCs/>
          <w:sz w:val="24"/>
          <w:szCs w:val="24"/>
        </w:rPr>
      </w:pPr>
      <w:r w:rsidRPr="00F73291">
        <w:rPr>
          <w:rFonts w:ascii="Times New Roman" w:hAnsi="Times New Roman" w:cs="Times New Roman"/>
          <w:b/>
          <w:bCs/>
          <w:sz w:val="24"/>
          <w:szCs w:val="24"/>
        </w:rPr>
        <w:t>Guarantors</w:t>
      </w:r>
    </w:p>
    <w:p w14:paraId="013748B4" w14:textId="64EAE761" w:rsidR="00B43055" w:rsidRPr="00F73291" w:rsidRDefault="00B43055" w:rsidP="00B43055">
      <w:pPr>
        <w:pStyle w:val="ListParagraph"/>
        <w:numPr>
          <w:ilvl w:val="1"/>
          <w:numId w:val="16"/>
        </w:numPr>
        <w:rPr>
          <w:rFonts w:ascii="Times New Roman" w:hAnsi="Times New Roman" w:cs="Times New Roman"/>
          <w:sz w:val="24"/>
          <w:szCs w:val="24"/>
        </w:rPr>
      </w:pPr>
      <w:r w:rsidRPr="00F73291">
        <w:rPr>
          <w:rFonts w:ascii="Times New Roman" w:hAnsi="Times New Roman" w:cs="Times New Roman"/>
          <w:sz w:val="24"/>
          <w:szCs w:val="24"/>
        </w:rPr>
        <w:t>A guarantor will be required for applicants who are students or who cannot provide proof of verifiable income but otherwise meet all other application requirements. Guarantors are restricted to family members who assume responsibility for all payments pursuant to the lease. Guarantors must meet the following requirements:</w:t>
      </w:r>
    </w:p>
    <w:p w14:paraId="40ECE474" w14:textId="77777777" w:rsidR="00B43055" w:rsidRPr="00F73291" w:rsidRDefault="00B43055" w:rsidP="00B43055">
      <w:pPr>
        <w:pStyle w:val="ListParagraph"/>
        <w:numPr>
          <w:ilvl w:val="2"/>
          <w:numId w:val="16"/>
        </w:numPr>
        <w:rPr>
          <w:rFonts w:ascii="Times New Roman" w:hAnsi="Times New Roman" w:cs="Times New Roman"/>
          <w:b/>
          <w:bCs/>
          <w:sz w:val="24"/>
          <w:szCs w:val="24"/>
        </w:rPr>
      </w:pPr>
      <w:r w:rsidRPr="00F73291">
        <w:rPr>
          <w:rFonts w:ascii="Times New Roman" w:hAnsi="Times New Roman" w:cs="Times New Roman"/>
          <w:b/>
          <w:bCs/>
          <w:sz w:val="24"/>
          <w:szCs w:val="24"/>
        </w:rPr>
        <w:t>Credit</w:t>
      </w:r>
    </w:p>
    <w:p w14:paraId="5B04FF6C" w14:textId="011BB6DD" w:rsidR="00B43055" w:rsidRPr="00F73291" w:rsidRDefault="00B43055" w:rsidP="00B43055">
      <w:pPr>
        <w:pStyle w:val="ListParagraph"/>
        <w:numPr>
          <w:ilvl w:val="3"/>
          <w:numId w:val="16"/>
        </w:numPr>
        <w:rPr>
          <w:rFonts w:ascii="Times New Roman" w:hAnsi="Times New Roman" w:cs="Times New Roman"/>
          <w:sz w:val="24"/>
          <w:szCs w:val="24"/>
        </w:rPr>
      </w:pPr>
      <w:r w:rsidRPr="00F73291">
        <w:rPr>
          <w:rFonts w:ascii="Times New Roman" w:hAnsi="Times New Roman" w:cs="Times New Roman"/>
          <w:sz w:val="24"/>
          <w:szCs w:val="24"/>
        </w:rPr>
        <w:t>Credit score of 650 or higher</w:t>
      </w:r>
    </w:p>
    <w:p w14:paraId="69C7A9E6" w14:textId="77777777" w:rsidR="00B43055" w:rsidRPr="00F73291" w:rsidRDefault="00B43055" w:rsidP="00B43055">
      <w:pPr>
        <w:pStyle w:val="ListParagraph"/>
        <w:numPr>
          <w:ilvl w:val="2"/>
          <w:numId w:val="16"/>
        </w:numPr>
        <w:rPr>
          <w:rFonts w:ascii="Times New Roman" w:hAnsi="Times New Roman" w:cs="Times New Roman"/>
          <w:b/>
          <w:bCs/>
          <w:sz w:val="24"/>
          <w:szCs w:val="24"/>
        </w:rPr>
      </w:pPr>
      <w:r w:rsidRPr="00F73291">
        <w:rPr>
          <w:rFonts w:ascii="Times New Roman" w:hAnsi="Times New Roman" w:cs="Times New Roman"/>
          <w:b/>
          <w:bCs/>
          <w:sz w:val="24"/>
          <w:szCs w:val="24"/>
        </w:rPr>
        <w:t>Income</w:t>
      </w:r>
    </w:p>
    <w:p w14:paraId="2BCDCA54" w14:textId="320B65D7" w:rsidR="00B43055" w:rsidRPr="00F73291" w:rsidRDefault="00B43055" w:rsidP="00B43055">
      <w:pPr>
        <w:pStyle w:val="ListParagraph"/>
        <w:numPr>
          <w:ilvl w:val="3"/>
          <w:numId w:val="16"/>
        </w:numPr>
        <w:rPr>
          <w:rFonts w:ascii="Times New Roman" w:hAnsi="Times New Roman" w:cs="Times New Roman"/>
          <w:sz w:val="24"/>
          <w:szCs w:val="24"/>
        </w:rPr>
      </w:pPr>
      <w:r w:rsidRPr="00F73291">
        <w:rPr>
          <w:rFonts w:ascii="Times New Roman" w:hAnsi="Times New Roman" w:cs="Times New Roman"/>
          <w:sz w:val="24"/>
          <w:szCs w:val="24"/>
        </w:rPr>
        <w:t>Income is at least 4 times the rent</w:t>
      </w:r>
    </w:p>
    <w:p w14:paraId="5442D942" w14:textId="77777777" w:rsidR="00B43055" w:rsidRPr="00F73291" w:rsidRDefault="00B43055" w:rsidP="00B43055">
      <w:pPr>
        <w:rPr>
          <w:rFonts w:ascii="Times New Roman" w:hAnsi="Times New Roman" w:cs="Times New Roman"/>
          <w:b/>
          <w:bCs/>
          <w:sz w:val="24"/>
          <w:szCs w:val="24"/>
        </w:rPr>
      </w:pPr>
      <w:r w:rsidRPr="00F73291">
        <w:rPr>
          <w:rFonts w:ascii="Times New Roman" w:hAnsi="Times New Roman" w:cs="Times New Roman"/>
          <w:b/>
          <w:bCs/>
          <w:sz w:val="24"/>
          <w:szCs w:val="24"/>
        </w:rPr>
        <w:t>Automatic Declines</w:t>
      </w:r>
    </w:p>
    <w:p w14:paraId="3D865A17" w14:textId="092464FC" w:rsidR="00B43055" w:rsidRPr="00F73291" w:rsidRDefault="00B43055" w:rsidP="00B43055">
      <w:pPr>
        <w:rPr>
          <w:rFonts w:ascii="Times New Roman" w:hAnsi="Times New Roman" w:cs="Times New Roman"/>
          <w:sz w:val="24"/>
          <w:szCs w:val="24"/>
        </w:rPr>
      </w:pPr>
      <w:r w:rsidRPr="00F73291">
        <w:rPr>
          <w:rFonts w:ascii="Times New Roman" w:hAnsi="Times New Roman" w:cs="Times New Roman"/>
          <w:sz w:val="24"/>
          <w:szCs w:val="24"/>
        </w:rPr>
        <w:t>Final decisions on all applications are based on standard criteria set by the Landlord, including rental and credit history, ability to pay rent, and background check results. Applicants will be automatically denied for any of the following:</w:t>
      </w:r>
    </w:p>
    <w:p w14:paraId="663B0982" w14:textId="77777777"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Prior Evictions within three (3) years of Application</w:t>
      </w:r>
    </w:p>
    <w:p w14:paraId="01E8A250" w14:textId="67829607"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The average combined credit score for all Applicants is below 6</w:t>
      </w:r>
      <w:r w:rsidR="00F73291">
        <w:rPr>
          <w:rFonts w:ascii="Times New Roman" w:hAnsi="Times New Roman" w:cs="Times New Roman"/>
          <w:sz w:val="24"/>
          <w:szCs w:val="24"/>
        </w:rPr>
        <w:t>2</w:t>
      </w:r>
      <w:r w:rsidRPr="00F73291">
        <w:rPr>
          <w:rFonts w:ascii="Times New Roman" w:hAnsi="Times New Roman" w:cs="Times New Roman"/>
          <w:sz w:val="24"/>
          <w:szCs w:val="24"/>
        </w:rPr>
        <w:t>0</w:t>
      </w:r>
      <w:r w:rsidR="005B63A1">
        <w:rPr>
          <w:rFonts w:ascii="Times New Roman" w:hAnsi="Times New Roman" w:cs="Times New Roman"/>
          <w:sz w:val="24"/>
          <w:szCs w:val="24"/>
        </w:rPr>
        <w:t>, and any additional information provided pursuant to Section 38-105(e)</w:t>
      </w:r>
      <w:r w:rsidR="001E7F34">
        <w:rPr>
          <w:rFonts w:ascii="Times New Roman" w:hAnsi="Times New Roman" w:cs="Times New Roman"/>
          <w:sz w:val="24"/>
          <w:szCs w:val="24"/>
        </w:rPr>
        <w:t xml:space="preserve"> of the Kansas City Ordinances has been referenced and given appropriate consideration</w:t>
      </w:r>
    </w:p>
    <w:p w14:paraId="54A7819F" w14:textId="77777777"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Applicant's identity is not verified</w:t>
      </w:r>
    </w:p>
    <w:p w14:paraId="39249133" w14:textId="77777777"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Applicant's income is not verified</w:t>
      </w:r>
    </w:p>
    <w:p w14:paraId="4AE3133D" w14:textId="77777777"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Open bankruptcies or bankruptcies within the past 3 years</w:t>
      </w:r>
    </w:p>
    <w:p w14:paraId="0465F078" w14:textId="3AE5A52B"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 xml:space="preserve">Insufficient income – Total rent payment per month is more than </w:t>
      </w:r>
      <w:r w:rsidR="00F73291">
        <w:rPr>
          <w:rFonts w:ascii="Times New Roman" w:hAnsi="Times New Roman" w:cs="Times New Roman"/>
          <w:sz w:val="24"/>
          <w:szCs w:val="24"/>
        </w:rPr>
        <w:t>50</w:t>
      </w:r>
      <w:r w:rsidRPr="00F73291">
        <w:rPr>
          <w:rFonts w:ascii="Times New Roman" w:hAnsi="Times New Roman" w:cs="Times New Roman"/>
          <w:sz w:val="24"/>
          <w:szCs w:val="24"/>
        </w:rPr>
        <w:t>% of the applicants' combined verifiable gross monthly income</w:t>
      </w:r>
      <w:r w:rsidR="001E7F34">
        <w:rPr>
          <w:rFonts w:ascii="Times New Roman" w:hAnsi="Times New Roman" w:cs="Times New Roman"/>
          <w:sz w:val="24"/>
          <w:szCs w:val="24"/>
        </w:rPr>
        <w:t xml:space="preserve">. </w:t>
      </w:r>
      <w:r w:rsidR="001E7F34" w:rsidRPr="005B63A1">
        <w:rPr>
          <w:rFonts w:ascii="Times New Roman" w:hAnsi="Times New Roman" w:cs="Times New Roman"/>
          <w:sz w:val="24"/>
          <w:szCs w:val="24"/>
        </w:rPr>
        <w:t xml:space="preserve">We will </w:t>
      </w:r>
      <w:proofErr w:type="gramStart"/>
      <w:r w:rsidR="001E7F34" w:rsidRPr="005B63A1">
        <w:rPr>
          <w:rFonts w:ascii="Times New Roman" w:hAnsi="Times New Roman" w:cs="Times New Roman"/>
          <w:sz w:val="24"/>
          <w:szCs w:val="24"/>
        </w:rPr>
        <w:t>take into account</w:t>
      </w:r>
      <w:proofErr w:type="gramEnd"/>
      <w:r w:rsidR="001E7F34" w:rsidRPr="005B63A1">
        <w:rPr>
          <w:rFonts w:ascii="Times New Roman" w:hAnsi="Times New Roman" w:cs="Times New Roman"/>
          <w:sz w:val="24"/>
          <w:szCs w:val="24"/>
        </w:rPr>
        <w:t xml:space="preserve"> all verifiable and lawful sources of income, such as vouchers, maintenance, disability payments, pensions, or other income supports. If a prospective tenant has a voucher, the Landlord's requirement for any rent-to-income ratio shall apply only with respect to the portion of </w:t>
      </w:r>
      <w:r w:rsidR="001E7F34" w:rsidRPr="005B63A1">
        <w:rPr>
          <w:rFonts w:ascii="Times New Roman" w:hAnsi="Times New Roman" w:cs="Times New Roman"/>
          <w:sz w:val="24"/>
          <w:szCs w:val="24"/>
        </w:rPr>
        <w:lastRenderedPageBreak/>
        <w:t>rent not covered by such prospective tenant's voucher amount, consistent with state and federal law, including, but not limited to, fair housing laws.</w:t>
      </w:r>
    </w:p>
    <w:p w14:paraId="55C6CEE2" w14:textId="78B2EB23"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Any landlord collection in the past 3 years</w:t>
      </w:r>
      <w:r w:rsidR="001E7F34">
        <w:rPr>
          <w:rFonts w:ascii="Times New Roman" w:hAnsi="Times New Roman" w:cs="Times New Roman"/>
          <w:sz w:val="24"/>
          <w:szCs w:val="24"/>
        </w:rPr>
        <w:t>, and any additional information provided pursuant to Section 38-105(e) of the Kansas City Ordinances has been referenced and given appropriate consideration</w:t>
      </w:r>
    </w:p>
    <w:p w14:paraId="46FBA325" w14:textId="17E21FE9"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A conviction for the illegal manufacture or distribution of a controlled substance</w:t>
      </w:r>
      <w:r w:rsidR="001E7F34">
        <w:rPr>
          <w:rFonts w:ascii="Times New Roman" w:hAnsi="Times New Roman" w:cs="Times New Roman"/>
          <w:sz w:val="24"/>
          <w:szCs w:val="24"/>
        </w:rPr>
        <w:t>, and any additional information provided pursuant to Section 38-105(e) of the Kansas City Ordinances has been referenced and given appropriate consideration</w:t>
      </w:r>
    </w:p>
    <w:p w14:paraId="3EAEA3A0" w14:textId="4D8A5EE7"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Registered Sex Offenders</w:t>
      </w:r>
      <w:r w:rsidR="001E7F34">
        <w:rPr>
          <w:rFonts w:ascii="Times New Roman" w:hAnsi="Times New Roman" w:cs="Times New Roman"/>
          <w:sz w:val="24"/>
          <w:szCs w:val="24"/>
        </w:rPr>
        <w:t>, and any additional information provided pursuant to Section 38-105(e) of the Kansas City Ordinances has been referenced and given appropriate consideration</w:t>
      </w:r>
    </w:p>
    <w:p w14:paraId="4CC7FB27" w14:textId="77777777"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Misrepresentation(s) or falsifications of application</w:t>
      </w:r>
    </w:p>
    <w:p w14:paraId="2EFAF2B1" w14:textId="7A72DE8D" w:rsidR="00B43055" w:rsidRPr="00F73291" w:rsidRDefault="00B43055" w:rsidP="00B43055">
      <w:pPr>
        <w:pStyle w:val="NoSpacing"/>
        <w:numPr>
          <w:ilvl w:val="0"/>
          <w:numId w:val="17"/>
        </w:numPr>
        <w:rPr>
          <w:rFonts w:ascii="Times New Roman" w:hAnsi="Times New Roman" w:cs="Times New Roman"/>
          <w:sz w:val="24"/>
          <w:szCs w:val="24"/>
        </w:rPr>
      </w:pPr>
      <w:r w:rsidRPr="00F73291">
        <w:rPr>
          <w:rFonts w:ascii="Times New Roman" w:hAnsi="Times New Roman" w:cs="Times New Roman"/>
          <w:sz w:val="24"/>
          <w:szCs w:val="24"/>
        </w:rPr>
        <w:t>An applicant listed on the OFEC list</w:t>
      </w:r>
      <w:r w:rsidR="001E7F34">
        <w:rPr>
          <w:rFonts w:ascii="Times New Roman" w:hAnsi="Times New Roman" w:cs="Times New Roman"/>
          <w:sz w:val="24"/>
          <w:szCs w:val="24"/>
        </w:rPr>
        <w:t>, and any additional information provided pursuant to Section 38-105(e) of the Kansas City Ordinances has been referenced and given appropriate consideration</w:t>
      </w:r>
    </w:p>
    <w:p w14:paraId="266AF157" w14:textId="035653F9" w:rsidR="00484C48" w:rsidRPr="00F73291" w:rsidRDefault="00484C48" w:rsidP="00B43055">
      <w:pPr>
        <w:rPr>
          <w:rFonts w:ascii="Times New Roman" w:hAnsi="Times New Roman" w:cs="Times New Roman"/>
          <w:sz w:val="24"/>
          <w:szCs w:val="24"/>
        </w:rPr>
      </w:pPr>
    </w:p>
    <w:sectPr w:rsidR="00484C48" w:rsidRPr="00F732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06B3" w14:textId="77777777" w:rsidR="00290ECD" w:rsidRDefault="00290ECD" w:rsidP="00F73291">
      <w:pPr>
        <w:spacing w:after="0" w:line="240" w:lineRule="auto"/>
      </w:pPr>
      <w:r>
        <w:separator/>
      </w:r>
    </w:p>
  </w:endnote>
  <w:endnote w:type="continuationSeparator" w:id="0">
    <w:p w14:paraId="204DD469" w14:textId="77777777" w:rsidR="00290ECD" w:rsidRDefault="00290ECD" w:rsidP="00F7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86E42" w14:textId="77777777" w:rsidR="00290ECD" w:rsidRDefault="00290ECD" w:rsidP="00F73291">
      <w:pPr>
        <w:spacing w:after="0" w:line="240" w:lineRule="auto"/>
      </w:pPr>
      <w:r>
        <w:separator/>
      </w:r>
    </w:p>
  </w:footnote>
  <w:footnote w:type="continuationSeparator" w:id="0">
    <w:p w14:paraId="2B9BE2FD" w14:textId="77777777" w:rsidR="00290ECD" w:rsidRDefault="00290ECD" w:rsidP="00F73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71246" w14:textId="2958748B" w:rsidR="00F73291" w:rsidRDefault="00F73291" w:rsidP="00F7329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881"/>
    <w:multiLevelType w:val="multilevel"/>
    <w:tmpl w:val="5A4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A36FD"/>
    <w:multiLevelType w:val="multilevel"/>
    <w:tmpl w:val="9530F4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2B141DF"/>
    <w:multiLevelType w:val="hybridMultilevel"/>
    <w:tmpl w:val="0FD6E4F2"/>
    <w:lvl w:ilvl="0" w:tplc="11A08F38">
      <w:start w:val="1"/>
      <w:numFmt w:val="lowerRoman"/>
      <w:lvlText w:val="(%1)"/>
      <w:lvlJc w:val="left"/>
      <w:pPr>
        <w:ind w:left="1080" w:hanging="720"/>
      </w:pPr>
      <w:rPr>
        <w:rFonts w:hint="default"/>
      </w:rPr>
    </w:lvl>
    <w:lvl w:ilvl="1" w:tplc="C0CAB976">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76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B012E0"/>
    <w:multiLevelType w:val="hybridMultilevel"/>
    <w:tmpl w:val="C038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C7097"/>
    <w:multiLevelType w:val="hybridMultilevel"/>
    <w:tmpl w:val="31EE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052E0"/>
    <w:multiLevelType w:val="multilevel"/>
    <w:tmpl w:val="4D72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32766"/>
    <w:multiLevelType w:val="hybridMultilevel"/>
    <w:tmpl w:val="F5EE375C"/>
    <w:lvl w:ilvl="0" w:tplc="11A08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224D3"/>
    <w:multiLevelType w:val="multilevel"/>
    <w:tmpl w:val="C63C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F33EB"/>
    <w:multiLevelType w:val="multilevel"/>
    <w:tmpl w:val="053A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D4FAF"/>
    <w:multiLevelType w:val="hybridMultilevel"/>
    <w:tmpl w:val="4B7E7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E155BC"/>
    <w:multiLevelType w:val="hybridMultilevel"/>
    <w:tmpl w:val="0ED68878"/>
    <w:lvl w:ilvl="0" w:tplc="11A08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D6013F"/>
    <w:multiLevelType w:val="multilevel"/>
    <w:tmpl w:val="EB96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F5999"/>
    <w:multiLevelType w:val="hybridMultilevel"/>
    <w:tmpl w:val="34EC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F1A7E"/>
    <w:multiLevelType w:val="multilevel"/>
    <w:tmpl w:val="EF2E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07CBC"/>
    <w:multiLevelType w:val="hybridMultilevel"/>
    <w:tmpl w:val="05BAF7DE"/>
    <w:lvl w:ilvl="0" w:tplc="11A08F3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53B8D"/>
    <w:multiLevelType w:val="multilevel"/>
    <w:tmpl w:val="A5AA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889421">
    <w:abstractNumId w:val="6"/>
  </w:num>
  <w:num w:numId="2" w16cid:durableId="2013292267">
    <w:abstractNumId w:val="9"/>
  </w:num>
  <w:num w:numId="3" w16cid:durableId="987828022">
    <w:abstractNumId w:val="14"/>
  </w:num>
  <w:num w:numId="4" w16cid:durableId="305938277">
    <w:abstractNumId w:val="16"/>
  </w:num>
  <w:num w:numId="5" w16cid:durableId="383136575">
    <w:abstractNumId w:val="8"/>
  </w:num>
  <w:num w:numId="6" w16cid:durableId="348221991">
    <w:abstractNumId w:val="12"/>
  </w:num>
  <w:num w:numId="7" w16cid:durableId="2093235522">
    <w:abstractNumId w:val="10"/>
  </w:num>
  <w:num w:numId="8" w16cid:durableId="545602690">
    <w:abstractNumId w:val="5"/>
  </w:num>
  <w:num w:numId="9" w16cid:durableId="1365642961">
    <w:abstractNumId w:val="4"/>
  </w:num>
  <w:num w:numId="10" w16cid:durableId="1122455010">
    <w:abstractNumId w:val="7"/>
  </w:num>
  <w:num w:numId="11" w16cid:durableId="1644194857">
    <w:abstractNumId w:val="1"/>
  </w:num>
  <w:num w:numId="12" w16cid:durableId="960577382">
    <w:abstractNumId w:val="0"/>
  </w:num>
  <w:num w:numId="13" w16cid:durableId="890771191">
    <w:abstractNumId w:val="2"/>
  </w:num>
  <w:num w:numId="14" w16cid:durableId="1695618213">
    <w:abstractNumId w:val="11"/>
  </w:num>
  <w:num w:numId="15" w16cid:durableId="1679309982">
    <w:abstractNumId w:val="15"/>
  </w:num>
  <w:num w:numId="16" w16cid:durableId="717435847">
    <w:abstractNumId w:val="3"/>
  </w:num>
  <w:num w:numId="17" w16cid:durableId="3447205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D3"/>
    <w:rsid w:val="0000717B"/>
    <w:rsid w:val="0019169C"/>
    <w:rsid w:val="001E7F34"/>
    <w:rsid w:val="00290ECD"/>
    <w:rsid w:val="002F7091"/>
    <w:rsid w:val="00403A7D"/>
    <w:rsid w:val="00484C48"/>
    <w:rsid w:val="004D5037"/>
    <w:rsid w:val="005B63A1"/>
    <w:rsid w:val="005D1ECC"/>
    <w:rsid w:val="005F4EB0"/>
    <w:rsid w:val="00672E28"/>
    <w:rsid w:val="007D6D5A"/>
    <w:rsid w:val="008926EC"/>
    <w:rsid w:val="008F12D4"/>
    <w:rsid w:val="00950D52"/>
    <w:rsid w:val="0097593E"/>
    <w:rsid w:val="00B41AE7"/>
    <w:rsid w:val="00B43055"/>
    <w:rsid w:val="00CD0F83"/>
    <w:rsid w:val="00D3381A"/>
    <w:rsid w:val="00D80C1D"/>
    <w:rsid w:val="00F73291"/>
    <w:rsid w:val="00FB6C85"/>
    <w:rsid w:val="00FD5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035E"/>
  <w15:chartTrackingRefBased/>
  <w15:docId w15:val="{AE61F98A-C24E-4799-884A-05D2560A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9D3"/>
    <w:pPr>
      <w:ind w:left="720"/>
      <w:contextualSpacing/>
    </w:pPr>
  </w:style>
  <w:style w:type="paragraph" w:styleId="NoSpacing">
    <w:name w:val="No Spacing"/>
    <w:uiPriority w:val="1"/>
    <w:qFormat/>
    <w:rsid w:val="00B43055"/>
    <w:pPr>
      <w:spacing w:after="0" w:line="240" w:lineRule="auto"/>
    </w:pPr>
  </w:style>
  <w:style w:type="paragraph" w:styleId="Header">
    <w:name w:val="header"/>
    <w:basedOn w:val="Normal"/>
    <w:link w:val="HeaderChar"/>
    <w:uiPriority w:val="99"/>
    <w:unhideWhenUsed/>
    <w:rsid w:val="00F7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291"/>
  </w:style>
  <w:style w:type="paragraph" w:styleId="Footer">
    <w:name w:val="footer"/>
    <w:basedOn w:val="Normal"/>
    <w:link w:val="FooterChar"/>
    <w:uiPriority w:val="99"/>
    <w:unhideWhenUsed/>
    <w:rsid w:val="00F7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291"/>
  </w:style>
  <w:style w:type="paragraph" w:styleId="Revision">
    <w:name w:val="Revision"/>
    <w:hidden/>
    <w:uiPriority w:val="99"/>
    <w:semiHidden/>
    <w:rsid w:val="005B6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008">
      <w:bodyDiv w:val="1"/>
      <w:marLeft w:val="0"/>
      <w:marRight w:val="0"/>
      <w:marTop w:val="0"/>
      <w:marBottom w:val="0"/>
      <w:divBdr>
        <w:top w:val="none" w:sz="0" w:space="0" w:color="auto"/>
        <w:left w:val="none" w:sz="0" w:space="0" w:color="auto"/>
        <w:bottom w:val="none" w:sz="0" w:space="0" w:color="auto"/>
        <w:right w:val="none" w:sz="0" w:space="0" w:color="auto"/>
      </w:divBdr>
      <w:divsChild>
        <w:div w:id="383335669">
          <w:marLeft w:val="0"/>
          <w:marRight w:val="0"/>
          <w:marTop w:val="0"/>
          <w:marBottom w:val="0"/>
          <w:divBdr>
            <w:top w:val="none" w:sz="0" w:space="0" w:color="auto"/>
            <w:left w:val="none" w:sz="0" w:space="0" w:color="auto"/>
            <w:bottom w:val="none" w:sz="0" w:space="0" w:color="auto"/>
            <w:right w:val="none" w:sz="0" w:space="0" w:color="auto"/>
          </w:divBdr>
          <w:divsChild>
            <w:div w:id="87628439">
              <w:marLeft w:val="0"/>
              <w:marRight w:val="0"/>
              <w:marTop w:val="0"/>
              <w:marBottom w:val="0"/>
              <w:divBdr>
                <w:top w:val="none" w:sz="0" w:space="0" w:color="auto"/>
                <w:left w:val="none" w:sz="0" w:space="0" w:color="auto"/>
                <w:bottom w:val="none" w:sz="0" w:space="0" w:color="auto"/>
                <w:right w:val="none" w:sz="0" w:space="0" w:color="auto"/>
              </w:divBdr>
              <w:divsChild>
                <w:div w:id="417868171">
                  <w:marLeft w:val="-225"/>
                  <w:marRight w:val="-225"/>
                  <w:marTop w:val="0"/>
                  <w:marBottom w:val="0"/>
                  <w:divBdr>
                    <w:top w:val="none" w:sz="0" w:space="0" w:color="auto"/>
                    <w:left w:val="none" w:sz="0" w:space="0" w:color="auto"/>
                    <w:bottom w:val="none" w:sz="0" w:space="0" w:color="auto"/>
                    <w:right w:val="none" w:sz="0" w:space="0" w:color="auto"/>
                  </w:divBdr>
                  <w:divsChild>
                    <w:div w:id="519783149">
                      <w:marLeft w:val="0"/>
                      <w:marRight w:val="0"/>
                      <w:marTop w:val="0"/>
                      <w:marBottom w:val="0"/>
                      <w:divBdr>
                        <w:top w:val="none" w:sz="0" w:space="0" w:color="auto"/>
                        <w:left w:val="none" w:sz="0" w:space="0" w:color="auto"/>
                        <w:bottom w:val="none" w:sz="0" w:space="0" w:color="auto"/>
                        <w:right w:val="none" w:sz="0" w:space="0" w:color="auto"/>
                      </w:divBdr>
                    </w:div>
                  </w:divsChild>
                </w:div>
                <w:div w:id="1902904000">
                  <w:marLeft w:val="-225"/>
                  <w:marRight w:val="-225"/>
                  <w:marTop w:val="0"/>
                  <w:marBottom w:val="0"/>
                  <w:divBdr>
                    <w:top w:val="none" w:sz="0" w:space="0" w:color="auto"/>
                    <w:left w:val="none" w:sz="0" w:space="0" w:color="auto"/>
                    <w:bottom w:val="none" w:sz="0" w:space="0" w:color="auto"/>
                    <w:right w:val="none" w:sz="0" w:space="0" w:color="auto"/>
                  </w:divBdr>
                  <w:divsChild>
                    <w:div w:id="1454010774">
                      <w:marLeft w:val="0"/>
                      <w:marRight w:val="0"/>
                      <w:marTop w:val="0"/>
                      <w:marBottom w:val="0"/>
                      <w:divBdr>
                        <w:top w:val="none" w:sz="0" w:space="0" w:color="auto"/>
                        <w:left w:val="none" w:sz="0" w:space="0" w:color="auto"/>
                        <w:bottom w:val="none" w:sz="0" w:space="0" w:color="auto"/>
                        <w:right w:val="none" w:sz="0" w:space="0" w:color="auto"/>
                      </w:divBdr>
                    </w:div>
                    <w:div w:id="1204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2606">
          <w:marLeft w:val="0"/>
          <w:marRight w:val="0"/>
          <w:marTop w:val="0"/>
          <w:marBottom w:val="0"/>
          <w:divBdr>
            <w:top w:val="none" w:sz="0" w:space="0" w:color="auto"/>
            <w:left w:val="none" w:sz="0" w:space="0" w:color="auto"/>
            <w:bottom w:val="none" w:sz="0" w:space="0" w:color="auto"/>
            <w:right w:val="none" w:sz="0" w:space="0" w:color="auto"/>
          </w:divBdr>
          <w:divsChild>
            <w:div w:id="363143569">
              <w:marLeft w:val="0"/>
              <w:marRight w:val="0"/>
              <w:marTop w:val="0"/>
              <w:marBottom w:val="0"/>
              <w:divBdr>
                <w:top w:val="none" w:sz="0" w:space="0" w:color="auto"/>
                <w:left w:val="none" w:sz="0" w:space="0" w:color="auto"/>
                <w:bottom w:val="none" w:sz="0" w:space="0" w:color="auto"/>
                <w:right w:val="none" w:sz="0" w:space="0" w:color="auto"/>
              </w:divBdr>
            </w:div>
          </w:divsChild>
        </w:div>
        <w:div w:id="338313435">
          <w:marLeft w:val="0"/>
          <w:marRight w:val="0"/>
          <w:marTop w:val="0"/>
          <w:marBottom w:val="0"/>
          <w:divBdr>
            <w:top w:val="none" w:sz="0" w:space="0" w:color="auto"/>
            <w:left w:val="none" w:sz="0" w:space="0" w:color="auto"/>
            <w:bottom w:val="none" w:sz="0" w:space="0" w:color="auto"/>
            <w:right w:val="none" w:sz="0" w:space="0" w:color="auto"/>
          </w:divBdr>
        </w:div>
        <w:div w:id="790444199">
          <w:marLeft w:val="0"/>
          <w:marRight w:val="0"/>
          <w:marTop w:val="0"/>
          <w:marBottom w:val="0"/>
          <w:divBdr>
            <w:top w:val="none" w:sz="0" w:space="0" w:color="auto"/>
            <w:left w:val="none" w:sz="0" w:space="0" w:color="auto"/>
            <w:bottom w:val="none" w:sz="0" w:space="0" w:color="auto"/>
            <w:right w:val="none" w:sz="0" w:space="0" w:color="auto"/>
          </w:divBdr>
        </w:div>
        <w:div w:id="973753393">
          <w:marLeft w:val="0"/>
          <w:marRight w:val="0"/>
          <w:marTop w:val="0"/>
          <w:marBottom w:val="0"/>
          <w:divBdr>
            <w:top w:val="none" w:sz="0" w:space="0" w:color="auto"/>
            <w:left w:val="none" w:sz="0" w:space="0" w:color="auto"/>
            <w:bottom w:val="none" w:sz="0" w:space="0" w:color="auto"/>
            <w:right w:val="none" w:sz="0" w:space="0" w:color="auto"/>
          </w:divBdr>
          <w:divsChild>
            <w:div w:id="714742674">
              <w:marLeft w:val="-225"/>
              <w:marRight w:val="-225"/>
              <w:marTop w:val="0"/>
              <w:marBottom w:val="0"/>
              <w:divBdr>
                <w:top w:val="none" w:sz="0" w:space="0" w:color="auto"/>
                <w:left w:val="none" w:sz="0" w:space="0" w:color="auto"/>
                <w:bottom w:val="none" w:sz="0" w:space="0" w:color="auto"/>
                <w:right w:val="none" w:sz="0" w:space="0" w:color="auto"/>
              </w:divBdr>
              <w:divsChild>
                <w:div w:id="1959875624">
                  <w:marLeft w:val="0"/>
                  <w:marRight w:val="0"/>
                  <w:marTop w:val="0"/>
                  <w:marBottom w:val="0"/>
                  <w:divBdr>
                    <w:top w:val="none" w:sz="0" w:space="0" w:color="auto"/>
                    <w:left w:val="none" w:sz="0" w:space="0" w:color="auto"/>
                    <w:bottom w:val="none" w:sz="0" w:space="0" w:color="auto"/>
                    <w:right w:val="none" w:sz="0" w:space="0" w:color="auto"/>
                  </w:divBdr>
                </w:div>
              </w:divsChild>
            </w:div>
            <w:div w:id="1329596822">
              <w:marLeft w:val="-225"/>
              <w:marRight w:val="-225"/>
              <w:marTop w:val="0"/>
              <w:marBottom w:val="0"/>
              <w:divBdr>
                <w:top w:val="none" w:sz="0" w:space="0" w:color="auto"/>
                <w:left w:val="none" w:sz="0" w:space="0" w:color="auto"/>
                <w:bottom w:val="none" w:sz="0" w:space="0" w:color="auto"/>
                <w:right w:val="none" w:sz="0" w:space="0" w:color="auto"/>
              </w:divBdr>
              <w:divsChild>
                <w:div w:id="1391659341">
                  <w:marLeft w:val="0"/>
                  <w:marRight w:val="0"/>
                  <w:marTop w:val="0"/>
                  <w:marBottom w:val="0"/>
                  <w:divBdr>
                    <w:top w:val="none" w:sz="0" w:space="0" w:color="auto"/>
                    <w:left w:val="none" w:sz="0" w:space="0" w:color="auto"/>
                    <w:bottom w:val="none" w:sz="0" w:space="0" w:color="auto"/>
                    <w:right w:val="none" w:sz="0" w:space="0" w:color="auto"/>
                  </w:divBdr>
                </w:div>
              </w:divsChild>
            </w:div>
            <w:div w:id="829833729">
              <w:marLeft w:val="-225"/>
              <w:marRight w:val="-225"/>
              <w:marTop w:val="0"/>
              <w:marBottom w:val="0"/>
              <w:divBdr>
                <w:top w:val="none" w:sz="0" w:space="0" w:color="auto"/>
                <w:left w:val="none" w:sz="0" w:space="0" w:color="auto"/>
                <w:bottom w:val="none" w:sz="0" w:space="0" w:color="auto"/>
                <w:right w:val="none" w:sz="0" w:space="0" w:color="auto"/>
              </w:divBdr>
              <w:divsChild>
                <w:div w:id="1327435613">
                  <w:marLeft w:val="0"/>
                  <w:marRight w:val="0"/>
                  <w:marTop w:val="0"/>
                  <w:marBottom w:val="0"/>
                  <w:divBdr>
                    <w:top w:val="none" w:sz="0" w:space="0" w:color="auto"/>
                    <w:left w:val="none" w:sz="0" w:space="0" w:color="auto"/>
                    <w:bottom w:val="none" w:sz="0" w:space="0" w:color="auto"/>
                    <w:right w:val="none" w:sz="0" w:space="0" w:color="auto"/>
                  </w:divBdr>
                </w:div>
                <w:div w:id="12360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898D5FDFBBF47812388CE10765119" ma:contentTypeVersion="11" ma:contentTypeDescription="Create a new document." ma:contentTypeScope="" ma:versionID="9d0a9f17cc108e1d147c9a3d713f4485">
  <xsd:schema xmlns:xsd="http://www.w3.org/2001/XMLSchema" xmlns:xs="http://www.w3.org/2001/XMLSchema" xmlns:p="http://schemas.microsoft.com/office/2006/metadata/properties" xmlns:ns2="a46bbeb1-5a45-4e2f-b808-6f6af9f94120" xmlns:ns3="ca7772fd-d8a9-4ba5-befd-7d84c6747f77" targetNamespace="http://schemas.microsoft.com/office/2006/metadata/properties" ma:root="true" ma:fieldsID="efd1396d7917103edcbfe73cbfd88065" ns2:_="" ns3:_="">
    <xsd:import namespace="a46bbeb1-5a45-4e2f-b808-6f6af9f94120"/>
    <xsd:import namespace="ca7772fd-d8a9-4ba5-befd-7d84c6747f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bbeb1-5a45-4e2f-b808-6f6af9f94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646d82-7bc2-4ddf-bdf0-a218bc0762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772fd-d8a9-4ba5-befd-7d84c6747f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d54b4f-5460-43c9-ad84-a5d217f94957}" ma:internalName="TaxCatchAll" ma:showField="CatchAllData" ma:web="ca7772fd-d8a9-4ba5-befd-7d84c6747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6bbeb1-5a45-4e2f-b808-6f6af9f94120">
      <Terms xmlns="http://schemas.microsoft.com/office/infopath/2007/PartnerControls"/>
    </lcf76f155ced4ddcb4097134ff3c332f>
    <TaxCatchAll xmlns="ca7772fd-d8a9-4ba5-befd-7d84c6747f77" xsi:nil="true"/>
  </documentManagement>
</p:properties>
</file>

<file path=customXml/itemProps1.xml><?xml version="1.0" encoding="utf-8"?>
<ds:datastoreItem xmlns:ds="http://schemas.openxmlformats.org/officeDocument/2006/customXml" ds:itemID="{318C6CCB-D57D-41EA-9F07-9CDD1A0304AC}"/>
</file>

<file path=customXml/itemProps2.xml><?xml version="1.0" encoding="utf-8"?>
<ds:datastoreItem xmlns:ds="http://schemas.openxmlformats.org/officeDocument/2006/customXml" ds:itemID="{9E1E92E4-0032-4553-8E9B-E767EED49601}"/>
</file>

<file path=customXml/itemProps3.xml><?xml version="1.0" encoding="utf-8"?>
<ds:datastoreItem xmlns:ds="http://schemas.openxmlformats.org/officeDocument/2006/customXml" ds:itemID="{F93D06FF-9957-4C03-83F9-DD9B72D6414B}"/>
</file>

<file path=docProps/app.xml><?xml version="1.0" encoding="utf-8"?>
<Properties xmlns="http://schemas.openxmlformats.org/officeDocument/2006/extended-properties" xmlns:vt="http://schemas.openxmlformats.org/officeDocument/2006/docPropsVTypes">
  <Template>Normal.dotm</Template>
  <TotalTime>3</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INAAS -</dc:creator>
  <cp:keywords/>
  <dc:description/>
  <cp:lastModifiedBy>Angela Austin Gaskill</cp:lastModifiedBy>
  <cp:revision>2</cp:revision>
  <dcterms:created xsi:type="dcterms:W3CDTF">2024-07-30T19:16:00Z</dcterms:created>
  <dcterms:modified xsi:type="dcterms:W3CDTF">2024-07-30T19:16:00Z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0x010100F34898D5FDFBBF47812388CE10765119</vt:lpwstr>
  </property>
</Properties>
</file>